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65F" w:rsidRPr="00016235" w:rsidRDefault="0019342C" w:rsidP="00877EBD">
      <w:pPr>
        <w:pStyle w:val="PlainText"/>
        <w:tabs>
          <w:tab w:val="left" w:pos="720"/>
        </w:tabs>
        <w:ind w:left="2835" w:right="29" w:hanging="2835"/>
        <w:rPr>
          <w:rFonts w:ascii="Arial" w:hAnsi="Arial"/>
          <w:b/>
          <w:caps/>
          <w:sz w:val="24"/>
          <w:szCs w:val="24"/>
        </w:rPr>
      </w:pPr>
      <w:r w:rsidRPr="00016235">
        <w:rPr>
          <w:rFonts w:ascii="Arial" w:hAnsi="Arial"/>
          <w:b/>
          <w:sz w:val="24"/>
        </w:rPr>
        <w:t>#</w:t>
      </w:r>
      <w:r w:rsidR="003F165F" w:rsidRPr="00016235">
        <w:rPr>
          <w:rFonts w:ascii="Arial" w:hAnsi="Arial"/>
          <w:b/>
          <w:sz w:val="24"/>
        </w:rPr>
        <w:t>.</w:t>
      </w:r>
      <w:r w:rsidR="003F165F" w:rsidRPr="00016235">
        <w:rPr>
          <w:rFonts w:ascii="Arial" w:hAnsi="Arial"/>
          <w:b/>
          <w:sz w:val="24"/>
        </w:rPr>
        <w:tab/>
      </w:r>
      <w:r w:rsidR="00016235">
        <w:rPr>
          <w:rFonts w:ascii="Arial" w:hAnsi="Arial"/>
          <w:b/>
          <w:sz w:val="24"/>
        </w:rPr>
        <w:t>SUBJECT</w:t>
      </w:r>
      <w:r w:rsidR="003F165F" w:rsidRPr="00016235">
        <w:rPr>
          <w:rFonts w:ascii="Arial" w:hAnsi="Arial"/>
          <w:b/>
          <w:sz w:val="24"/>
        </w:rPr>
        <w:t xml:space="preserve"> </w:t>
      </w:r>
      <w:r w:rsidR="003F165F" w:rsidRPr="00016235">
        <w:rPr>
          <w:rFonts w:ascii="Arial" w:hAnsi="Arial"/>
          <w:b/>
          <w:sz w:val="24"/>
        </w:rPr>
        <w:tab/>
      </w:r>
      <w:r w:rsidR="00517B77" w:rsidRPr="00016235">
        <w:rPr>
          <w:rFonts w:ascii="Arial" w:hAnsi="Arial"/>
          <w:b/>
          <w:caps/>
          <w:sz w:val="24"/>
          <w:szCs w:val="24"/>
        </w:rPr>
        <w:t>Deniliquin Local Environmental Plan 2013</w:t>
      </w:r>
      <w:r w:rsidR="00517B77" w:rsidRPr="00016235">
        <w:rPr>
          <w:rFonts w:ascii="Arial" w:hAnsi="Arial"/>
          <w:b/>
          <w:sz w:val="24"/>
          <w:szCs w:val="24"/>
        </w:rPr>
        <w:t xml:space="preserve"> </w:t>
      </w:r>
      <w:r w:rsidR="00517B77" w:rsidRPr="00016235">
        <w:rPr>
          <w:rFonts w:ascii="Arial" w:hAnsi="Arial"/>
          <w:b/>
          <w:caps/>
          <w:sz w:val="24"/>
          <w:szCs w:val="24"/>
        </w:rPr>
        <w:t xml:space="preserve">(Amendment No </w:t>
      </w:r>
      <w:r w:rsidR="00016235" w:rsidRPr="00016235">
        <w:rPr>
          <w:rFonts w:ascii="Arial" w:hAnsi="Arial"/>
          <w:b/>
          <w:caps/>
          <w:sz w:val="24"/>
          <w:szCs w:val="24"/>
        </w:rPr>
        <w:t>6</w:t>
      </w:r>
      <w:r w:rsidR="00517B77" w:rsidRPr="00016235">
        <w:rPr>
          <w:rFonts w:ascii="Arial" w:hAnsi="Arial"/>
          <w:b/>
          <w:caps/>
          <w:sz w:val="24"/>
          <w:szCs w:val="24"/>
        </w:rPr>
        <w:t>)</w:t>
      </w:r>
    </w:p>
    <w:p w:rsidR="003F165F" w:rsidRPr="00016235" w:rsidRDefault="00517B77" w:rsidP="00016235">
      <w:pPr>
        <w:pStyle w:val="Heading9"/>
        <w:tabs>
          <w:tab w:val="left" w:pos="2835"/>
        </w:tabs>
        <w:spacing w:before="300"/>
        <w:ind w:left="2835" w:hanging="2115"/>
        <w:rPr>
          <w:b/>
          <w:i w:val="0"/>
          <w:caps/>
        </w:rPr>
      </w:pPr>
      <w:r w:rsidRPr="00016235">
        <w:rPr>
          <w:b/>
          <w:i w:val="0"/>
          <w:caps/>
        </w:rPr>
        <w:t>From</w:t>
      </w:r>
      <w:r w:rsidR="003F165F" w:rsidRPr="00016235">
        <w:rPr>
          <w:b/>
          <w:i w:val="0"/>
          <w:caps/>
        </w:rPr>
        <w:t>:</w:t>
      </w:r>
      <w:r w:rsidR="009834D9" w:rsidRPr="00016235">
        <w:rPr>
          <w:b/>
          <w:i w:val="0"/>
          <w:caps/>
        </w:rPr>
        <w:tab/>
      </w:r>
      <w:r w:rsidR="00016235">
        <w:rPr>
          <w:b/>
          <w:i w:val="0"/>
          <w:caps/>
        </w:rPr>
        <w:t xml:space="preserve">ACTING </w:t>
      </w:r>
      <w:r w:rsidRPr="00016235">
        <w:rPr>
          <w:b/>
          <w:i w:val="0"/>
          <w:caps/>
        </w:rPr>
        <w:t xml:space="preserve">Director </w:t>
      </w:r>
      <w:r w:rsidR="00016235">
        <w:rPr>
          <w:b/>
          <w:i w:val="0"/>
          <w:caps/>
        </w:rPr>
        <w:t>ECONOMIC AND BUSINESS DEVELOPMENT</w:t>
      </w:r>
    </w:p>
    <w:p w:rsidR="003F165F" w:rsidRPr="00016235" w:rsidRDefault="00016235" w:rsidP="00016235">
      <w:pPr>
        <w:pStyle w:val="Heading9"/>
        <w:ind w:left="2835" w:firstLine="45"/>
        <w:rPr>
          <w:b/>
          <w:i w:val="0"/>
        </w:rPr>
      </w:pPr>
      <w:r>
        <w:rPr>
          <w:b/>
          <w:i w:val="0"/>
          <w:caps/>
        </w:rPr>
        <w:t>J</w:t>
      </w:r>
      <w:r>
        <w:rPr>
          <w:b/>
          <w:i w:val="0"/>
        </w:rPr>
        <w:t>ohn Harvie</w:t>
      </w:r>
    </w:p>
    <w:p w:rsidR="008D1379" w:rsidRPr="00016235" w:rsidRDefault="008D1379" w:rsidP="00027E61">
      <w:pPr>
        <w:pStyle w:val="PlainText"/>
        <w:spacing w:before="480"/>
        <w:ind w:left="720"/>
        <w:jc w:val="both"/>
        <w:rPr>
          <w:rFonts w:ascii="Arial" w:hAnsi="Arial"/>
          <w:b/>
          <w:sz w:val="24"/>
        </w:rPr>
      </w:pPr>
      <w:r w:rsidRPr="00016235">
        <w:rPr>
          <w:rFonts w:ascii="Arial" w:hAnsi="Arial"/>
          <w:b/>
          <w:sz w:val="24"/>
        </w:rPr>
        <w:t>Recommendation</w:t>
      </w:r>
      <w:r w:rsidR="006A36F9" w:rsidRPr="00016235">
        <w:rPr>
          <w:rFonts w:ascii="Arial" w:hAnsi="Arial"/>
          <w:b/>
          <w:sz w:val="24"/>
        </w:rPr>
        <w:t>/s</w:t>
      </w:r>
      <w:r w:rsidRPr="00016235">
        <w:rPr>
          <w:rFonts w:ascii="Arial" w:hAnsi="Arial"/>
          <w:b/>
          <w:sz w:val="24"/>
        </w:rPr>
        <w:t>:</w:t>
      </w:r>
    </w:p>
    <w:p w:rsidR="00AB3D3D" w:rsidRPr="00016235" w:rsidRDefault="00AB3D3D" w:rsidP="00AB3D3D">
      <w:pPr>
        <w:pStyle w:val="PlainText"/>
        <w:ind w:left="709"/>
        <w:jc w:val="both"/>
        <w:rPr>
          <w:rFonts w:ascii="Arial" w:hAnsi="Arial"/>
          <w:b/>
          <w:sz w:val="24"/>
        </w:rPr>
      </w:pPr>
    </w:p>
    <w:p w:rsidR="00AB3D3D" w:rsidRPr="00016235" w:rsidRDefault="00AB3D3D" w:rsidP="00AB3D3D">
      <w:pPr>
        <w:pStyle w:val="PlainText"/>
        <w:ind w:left="709"/>
        <w:jc w:val="both"/>
        <w:rPr>
          <w:rFonts w:ascii="Arial" w:hAnsi="Arial"/>
          <w:b/>
          <w:sz w:val="24"/>
        </w:rPr>
      </w:pPr>
      <w:r w:rsidRPr="00016235">
        <w:rPr>
          <w:rFonts w:ascii="Arial" w:hAnsi="Arial"/>
          <w:b/>
          <w:sz w:val="24"/>
        </w:rPr>
        <w:t>Division</w:t>
      </w:r>
    </w:p>
    <w:p w:rsidR="00AB3D3D" w:rsidRPr="00016235" w:rsidRDefault="00AB3D3D" w:rsidP="00AB3D3D">
      <w:pPr>
        <w:pStyle w:val="PlainText"/>
        <w:ind w:left="709"/>
        <w:jc w:val="both"/>
        <w:rPr>
          <w:rFonts w:ascii="Arial" w:hAnsi="Arial"/>
          <w:sz w:val="24"/>
        </w:rPr>
      </w:pPr>
      <w:r w:rsidRPr="00016235">
        <w:rPr>
          <w:rFonts w:ascii="Arial" w:hAnsi="Arial"/>
          <w:sz w:val="24"/>
        </w:rPr>
        <w:t>In accordance with the requirements of the Local Government Act, it is necessary for Council to call a division when voting of any resolution that involves making a planning decision.</w:t>
      </w:r>
    </w:p>
    <w:p w:rsidR="00AB3D3D" w:rsidRPr="00016235" w:rsidRDefault="00AB3D3D" w:rsidP="00AB3D3D">
      <w:pPr>
        <w:pStyle w:val="PlainText"/>
        <w:ind w:left="720"/>
        <w:jc w:val="both"/>
        <w:rPr>
          <w:rFonts w:ascii="Arial" w:hAnsi="Arial"/>
          <w:b/>
          <w:sz w:val="24"/>
        </w:rPr>
      </w:pPr>
    </w:p>
    <w:p w:rsidR="009D6CF7" w:rsidRPr="00016235" w:rsidRDefault="009D6CF7" w:rsidP="00AB3D3D">
      <w:pPr>
        <w:pStyle w:val="PlainText"/>
        <w:ind w:left="720"/>
        <w:jc w:val="both"/>
        <w:rPr>
          <w:rFonts w:ascii="Arial" w:hAnsi="Arial"/>
          <w:sz w:val="24"/>
        </w:rPr>
      </w:pPr>
      <w:r w:rsidRPr="00016235">
        <w:rPr>
          <w:rFonts w:ascii="Arial" w:hAnsi="Arial"/>
          <w:sz w:val="24"/>
        </w:rPr>
        <w:t>That Council:</w:t>
      </w:r>
    </w:p>
    <w:p w:rsidR="009D6CF7" w:rsidRPr="00016235" w:rsidRDefault="009D6CF7" w:rsidP="00AB3D3D">
      <w:pPr>
        <w:pStyle w:val="PlainText"/>
        <w:ind w:left="720"/>
        <w:jc w:val="both"/>
        <w:rPr>
          <w:rFonts w:ascii="Arial" w:hAnsi="Arial"/>
          <w:sz w:val="24"/>
        </w:rPr>
      </w:pPr>
    </w:p>
    <w:p w:rsidR="003F1FF8" w:rsidRPr="00016235" w:rsidRDefault="009D6CF7" w:rsidP="00881861">
      <w:pPr>
        <w:pStyle w:val="PlainText"/>
        <w:numPr>
          <w:ilvl w:val="0"/>
          <w:numId w:val="2"/>
        </w:numPr>
        <w:ind w:left="1560" w:hanging="840"/>
        <w:jc w:val="both"/>
        <w:rPr>
          <w:rFonts w:ascii="Arial" w:hAnsi="Arial"/>
          <w:sz w:val="24"/>
        </w:rPr>
      </w:pPr>
      <w:r w:rsidRPr="00016235">
        <w:rPr>
          <w:rFonts w:ascii="Arial" w:hAnsi="Arial"/>
          <w:sz w:val="24"/>
        </w:rPr>
        <w:t xml:space="preserve">In accordance with section 59(2) of the Environmental Planning and Assessment Act make the proposed Deniliquin Local Environmental Plan 2013 (Amendment </w:t>
      </w:r>
      <w:r w:rsidR="00016235">
        <w:rPr>
          <w:rFonts w:ascii="Arial" w:hAnsi="Arial"/>
          <w:sz w:val="24"/>
        </w:rPr>
        <w:t>6</w:t>
      </w:r>
      <w:r w:rsidRPr="00016235">
        <w:rPr>
          <w:rFonts w:ascii="Arial" w:hAnsi="Arial"/>
          <w:sz w:val="24"/>
        </w:rPr>
        <w:t>); and</w:t>
      </w:r>
    </w:p>
    <w:p w:rsidR="009D6CF7" w:rsidRPr="00016235" w:rsidRDefault="009D6CF7" w:rsidP="00881861">
      <w:pPr>
        <w:pStyle w:val="PlainText"/>
        <w:numPr>
          <w:ilvl w:val="0"/>
          <w:numId w:val="2"/>
        </w:numPr>
        <w:ind w:left="1560" w:hanging="840"/>
        <w:jc w:val="both"/>
        <w:rPr>
          <w:rFonts w:ascii="Arial" w:hAnsi="Arial"/>
          <w:sz w:val="24"/>
        </w:rPr>
      </w:pPr>
      <w:r w:rsidRPr="00016235">
        <w:rPr>
          <w:rFonts w:ascii="Arial" w:hAnsi="Arial"/>
          <w:sz w:val="24"/>
        </w:rPr>
        <w:t xml:space="preserve">Upon signing of the proposed Deniliquin Local Environmental Plan 2013 (Amendment </w:t>
      </w:r>
      <w:r w:rsidR="00016235">
        <w:rPr>
          <w:rFonts w:ascii="Arial" w:hAnsi="Arial"/>
          <w:sz w:val="24"/>
        </w:rPr>
        <w:t>6</w:t>
      </w:r>
      <w:r w:rsidRPr="00016235">
        <w:rPr>
          <w:rFonts w:ascii="Arial" w:hAnsi="Arial"/>
          <w:sz w:val="24"/>
        </w:rPr>
        <w:t xml:space="preserve">) by Council’s delegate, that the Department of Planning and Environment be notified of </w:t>
      </w:r>
      <w:r w:rsidR="00FE6E5B" w:rsidRPr="00016235">
        <w:rPr>
          <w:rFonts w:ascii="Arial" w:hAnsi="Arial"/>
          <w:sz w:val="24"/>
        </w:rPr>
        <w:t>Council’s</w:t>
      </w:r>
      <w:r w:rsidRPr="00016235">
        <w:rPr>
          <w:rFonts w:ascii="Arial" w:hAnsi="Arial"/>
          <w:sz w:val="24"/>
        </w:rPr>
        <w:t xml:space="preserve"> decision.</w:t>
      </w:r>
    </w:p>
    <w:p w:rsidR="003F165F" w:rsidRPr="00016235" w:rsidRDefault="003F165F" w:rsidP="008D1379">
      <w:pPr>
        <w:pStyle w:val="PlainText"/>
        <w:spacing w:before="360"/>
        <w:ind w:left="720"/>
        <w:jc w:val="both"/>
        <w:rPr>
          <w:rFonts w:ascii="Arial" w:hAnsi="Arial"/>
          <w:b/>
          <w:sz w:val="24"/>
        </w:rPr>
      </w:pPr>
      <w:r w:rsidRPr="00016235">
        <w:rPr>
          <w:rFonts w:ascii="Arial" w:hAnsi="Arial"/>
          <w:b/>
          <w:sz w:val="24"/>
        </w:rPr>
        <w:t>Background</w:t>
      </w:r>
      <w:r w:rsidR="008D1379" w:rsidRPr="00016235">
        <w:rPr>
          <w:rFonts w:ascii="Arial" w:hAnsi="Arial"/>
          <w:b/>
          <w:sz w:val="24"/>
        </w:rPr>
        <w:t>:</w:t>
      </w:r>
    </w:p>
    <w:p w:rsidR="003F165F" w:rsidRPr="00016235" w:rsidRDefault="00517B77" w:rsidP="00877EBD">
      <w:pPr>
        <w:pStyle w:val="PlainText"/>
        <w:spacing w:before="120"/>
        <w:ind w:left="720"/>
        <w:jc w:val="both"/>
        <w:rPr>
          <w:rFonts w:ascii="Arial" w:hAnsi="Arial"/>
          <w:sz w:val="24"/>
        </w:rPr>
      </w:pPr>
      <w:r w:rsidRPr="00016235">
        <w:rPr>
          <w:rFonts w:ascii="Arial" w:hAnsi="Arial"/>
          <w:sz w:val="24"/>
        </w:rPr>
        <w:t xml:space="preserve">At its meeting on </w:t>
      </w:r>
      <w:r w:rsidR="00016235">
        <w:rPr>
          <w:rFonts w:ascii="Arial" w:hAnsi="Arial"/>
          <w:sz w:val="24"/>
        </w:rPr>
        <w:t>15 September 2016</w:t>
      </w:r>
      <w:r w:rsidR="00AB3D3D" w:rsidRPr="00016235">
        <w:rPr>
          <w:rFonts w:ascii="Arial" w:hAnsi="Arial"/>
          <w:sz w:val="24"/>
        </w:rPr>
        <w:t>, Council resolved</w:t>
      </w:r>
      <w:r w:rsidR="008424FF" w:rsidRPr="00016235">
        <w:rPr>
          <w:rFonts w:ascii="Arial" w:hAnsi="Arial"/>
          <w:sz w:val="24"/>
        </w:rPr>
        <w:t xml:space="preserve"> to</w:t>
      </w:r>
      <w:r w:rsidR="00AB3D3D" w:rsidRPr="00016235">
        <w:rPr>
          <w:rFonts w:ascii="Arial" w:hAnsi="Arial"/>
          <w:sz w:val="24"/>
        </w:rPr>
        <w:t>:</w:t>
      </w:r>
    </w:p>
    <w:p w:rsidR="00016235" w:rsidRDefault="00015AA0" w:rsidP="00016235">
      <w:pPr>
        <w:pStyle w:val="PlainText"/>
        <w:spacing w:before="120"/>
        <w:ind w:left="1560" w:hanging="840"/>
        <w:jc w:val="both"/>
        <w:rPr>
          <w:rFonts w:ascii="Arial" w:hAnsi="Arial"/>
          <w:sz w:val="24"/>
        </w:rPr>
      </w:pPr>
      <w:r w:rsidRPr="00016235">
        <w:rPr>
          <w:rFonts w:ascii="Arial" w:hAnsi="Arial"/>
          <w:sz w:val="24"/>
        </w:rPr>
        <w:t>a</w:t>
      </w:r>
      <w:r w:rsidRPr="00016235">
        <w:rPr>
          <w:rFonts w:ascii="Arial" w:hAnsi="Arial"/>
          <w:sz w:val="24"/>
        </w:rPr>
        <w:tab/>
      </w:r>
      <w:r w:rsidR="00016235">
        <w:rPr>
          <w:rFonts w:ascii="Arial" w:hAnsi="Arial"/>
          <w:sz w:val="24"/>
        </w:rPr>
        <w:t xml:space="preserve">Prepare a planning proposal to amend the Deniliquin Local Environmental Plan 2013 in accordance with section 55(1) of the Environmental Planning and Assessment Act 1979 to identify in Schedule 5 Environmental Heritage a State Heritage Item being the 75mm Field Gun located at Lot 11 DP544836 being 72-96 End Street, Deniliquin. </w:t>
      </w:r>
    </w:p>
    <w:p w:rsidR="00016235" w:rsidRDefault="00016235" w:rsidP="00016235">
      <w:pPr>
        <w:pStyle w:val="PlainText"/>
        <w:spacing w:before="120"/>
        <w:ind w:left="1560" w:hanging="840"/>
        <w:jc w:val="both"/>
        <w:rPr>
          <w:rFonts w:ascii="Arial" w:hAnsi="Arial"/>
          <w:sz w:val="24"/>
        </w:rPr>
      </w:pPr>
      <w:r>
        <w:rPr>
          <w:rFonts w:ascii="Arial" w:hAnsi="Arial"/>
          <w:sz w:val="24"/>
        </w:rPr>
        <w:t>b</w:t>
      </w:r>
      <w:r>
        <w:rPr>
          <w:rFonts w:ascii="Arial" w:hAnsi="Arial"/>
          <w:sz w:val="24"/>
        </w:rPr>
        <w:tab/>
        <w:t>Forward the planning proposal to the Minister for Planning and Infrastructure in accordance with section 56(1) of the Environmental Planning and Assessment Act 1979.</w:t>
      </w:r>
    </w:p>
    <w:p w:rsidR="00016235" w:rsidRPr="008D1379" w:rsidRDefault="00016235" w:rsidP="00016235">
      <w:pPr>
        <w:pStyle w:val="PlainText"/>
        <w:spacing w:before="120"/>
        <w:ind w:left="1560" w:hanging="851"/>
        <w:jc w:val="both"/>
        <w:rPr>
          <w:rFonts w:ascii="Arial" w:hAnsi="Arial"/>
          <w:sz w:val="24"/>
        </w:rPr>
      </w:pPr>
      <w:r>
        <w:rPr>
          <w:rFonts w:ascii="Arial" w:hAnsi="Arial"/>
          <w:sz w:val="24"/>
        </w:rPr>
        <w:t>c</w:t>
      </w:r>
      <w:r>
        <w:rPr>
          <w:rFonts w:ascii="Arial" w:hAnsi="Arial"/>
          <w:sz w:val="24"/>
        </w:rPr>
        <w:tab/>
        <w:t>Request that the local planning making functions in relation to this planning proposal be delegated to Council.</w:t>
      </w:r>
    </w:p>
    <w:p w:rsidR="00016235" w:rsidRDefault="00016235" w:rsidP="00016235">
      <w:pPr>
        <w:pStyle w:val="PlainText"/>
        <w:spacing w:before="120"/>
        <w:ind w:left="709" w:firstLine="11"/>
        <w:jc w:val="both"/>
        <w:rPr>
          <w:rFonts w:ascii="Arial" w:hAnsi="Arial"/>
          <w:sz w:val="24"/>
        </w:rPr>
      </w:pPr>
      <w:r>
        <w:rPr>
          <w:rFonts w:ascii="Arial" w:hAnsi="Arial"/>
          <w:sz w:val="24"/>
        </w:rPr>
        <w:t>In a report to Council on 14 October 2016 a correction was made to the planning proposal</w:t>
      </w:r>
      <w:r w:rsidR="006906DA">
        <w:rPr>
          <w:rFonts w:ascii="Arial" w:hAnsi="Arial"/>
          <w:sz w:val="24"/>
        </w:rPr>
        <w:t xml:space="preserve"> (as resolved by Council at its meeting on 15 September 2016)</w:t>
      </w:r>
      <w:r>
        <w:rPr>
          <w:rFonts w:ascii="Arial" w:hAnsi="Arial"/>
          <w:sz w:val="24"/>
        </w:rPr>
        <w:t xml:space="preserve"> as the incorrect gun had been identified in the </w:t>
      </w:r>
      <w:r w:rsidR="006906DA">
        <w:rPr>
          <w:rFonts w:ascii="Arial" w:hAnsi="Arial"/>
          <w:sz w:val="24"/>
        </w:rPr>
        <w:t>planning proposal.  The correct gun is the 12 Pounder Rifled Breech-Loading Gun (Armstrong)</w:t>
      </w:r>
      <w:r w:rsidR="005840AC">
        <w:rPr>
          <w:rFonts w:ascii="Arial" w:hAnsi="Arial"/>
          <w:sz w:val="24"/>
        </w:rPr>
        <w:t xml:space="preserve"> which is located at the Deniliquin RSL Club</w:t>
      </w:r>
      <w:r w:rsidR="006906DA">
        <w:rPr>
          <w:rFonts w:ascii="Arial" w:hAnsi="Arial"/>
          <w:sz w:val="24"/>
        </w:rPr>
        <w:t xml:space="preserve">.  The Department of Planning and Environment (the Department) was notified of this correction to the planning proposal on 28 October 2016.  The Department amended the gateway determination on 17 November 2016.  </w:t>
      </w:r>
    </w:p>
    <w:p w:rsidR="006C36DC" w:rsidRPr="00016235" w:rsidRDefault="006C36DC" w:rsidP="006906DA">
      <w:pPr>
        <w:pStyle w:val="PlainText"/>
        <w:spacing w:before="120"/>
        <w:ind w:left="709"/>
        <w:jc w:val="both"/>
        <w:rPr>
          <w:rFonts w:ascii="Arial" w:hAnsi="Arial"/>
          <w:sz w:val="24"/>
        </w:rPr>
      </w:pPr>
      <w:r w:rsidRPr="00016235">
        <w:rPr>
          <w:rFonts w:ascii="Arial" w:hAnsi="Arial"/>
          <w:sz w:val="24"/>
        </w:rPr>
        <w:t>Council has now complied with the conditions of the gateway determination and the inst</w:t>
      </w:r>
      <w:r w:rsidR="00FC718F" w:rsidRPr="00016235">
        <w:rPr>
          <w:rFonts w:ascii="Arial" w:hAnsi="Arial"/>
          <w:sz w:val="24"/>
        </w:rPr>
        <w:t>rument can be made.  Attachment</w:t>
      </w:r>
      <w:r w:rsidRPr="00016235">
        <w:rPr>
          <w:rFonts w:ascii="Arial" w:hAnsi="Arial"/>
          <w:sz w:val="24"/>
        </w:rPr>
        <w:t xml:space="preserve"> 1 is a c</w:t>
      </w:r>
      <w:r w:rsidR="00FC718F" w:rsidRPr="00016235">
        <w:rPr>
          <w:rFonts w:ascii="Arial" w:hAnsi="Arial"/>
          <w:sz w:val="24"/>
        </w:rPr>
        <w:t>opy of the amending instrument</w:t>
      </w:r>
      <w:r w:rsidR="005840AC">
        <w:rPr>
          <w:rFonts w:ascii="Arial" w:hAnsi="Arial"/>
          <w:sz w:val="24"/>
        </w:rPr>
        <w:t xml:space="preserve"> and map</w:t>
      </w:r>
      <w:r w:rsidR="00FC718F" w:rsidRPr="00016235">
        <w:rPr>
          <w:rFonts w:ascii="Arial" w:hAnsi="Arial"/>
          <w:sz w:val="24"/>
        </w:rPr>
        <w:t xml:space="preserve"> </w:t>
      </w:r>
      <w:r w:rsidR="00BB0969" w:rsidRPr="00016235">
        <w:rPr>
          <w:rFonts w:ascii="Arial" w:hAnsi="Arial"/>
          <w:sz w:val="24"/>
        </w:rPr>
        <w:t>and the Parliamentary Counsel’s opinion stating that the instrument can be made.</w:t>
      </w:r>
      <w:r w:rsidRPr="00016235">
        <w:rPr>
          <w:rFonts w:ascii="Arial" w:hAnsi="Arial"/>
          <w:sz w:val="24"/>
        </w:rPr>
        <w:t xml:space="preserve"> </w:t>
      </w:r>
      <w:r w:rsidR="00B51879" w:rsidRPr="00016235">
        <w:rPr>
          <w:rFonts w:ascii="Arial" w:hAnsi="Arial"/>
          <w:sz w:val="24"/>
        </w:rPr>
        <w:t xml:space="preserve"> </w:t>
      </w:r>
    </w:p>
    <w:p w:rsidR="00064B56" w:rsidRPr="00016235" w:rsidRDefault="00064B56" w:rsidP="00DD3C43">
      <w:pPr>
        <w:pStyle w:val="PlainText"/>
        <w:spacing w:before="100" w:beforeAutospacing="1" w:after="100" w:afterAutospacing="1"/>
        <w:ind w:left="720"/>
        <w:jc w:val="both"/>
        <w:rPr>
          <w:rFonts w:ascii="Arial" w:hAnsi="Arial"/>
          <w:sz w:val="24"/>
        </w:rPr>
      </w:pPr>
      <w:r w:rsidRPr="00016235">
        <w:rPr>
          <w:rFonts w:ascii="Arial" w:hAnsi="Arial"/>
          <w:b/>
          <w:sz w:val="24"/>
        </w:rPr>
        <w:t>Comment</w:t>
      </w:r>
    </w:p>
    <w:p w:rsidR="00B40834" w:rsidRPr="00016235" w:rsidRDefault="00064B56" w:rsidP="002D293F">
      <w:pPr>
        <w:pStyle w:val="PlainText"/>
        <w:spacing w:before="100" w:beforeAutospacing="1" w:after="100" w:afterAutospacing="1"/>
        <w:ind w:left="709"/>
        <w:jc w:val="both"/>
        <w:rPr>
          <w:rFonts w:ascii="Arial" w:hAnsi="Arial"/>
          <w:sz w:val="24"/>
        </w:rPr>
      </w:pPr>
      <w:r w:rsidRPr="00016235">
        <w:rPr>
          <w:rFonts w:ascii="Arial" w:hAnsi="Arial"/>
          <w:sz w:val="24"/>
        </w:rPr>
        <w:lastRenderedPageBreak/>
        <w:t xml:space="preserve">Following Council’s decision on </w:t>
      </w:r>
      <w:r w:rsidR="006906DA">
        <w:rPr>
          <w:rFonts w:ascii="Arial" w:hAnsi="Arial"/>
          <w:sz w:val="24"/>
        </w:rPr>
        <w:t>15 September 2016</w:t>
      </w:r>
      <w:r w:rsidRPr="00016235">
        <w:rPr>
          <w:rFonts w:ascii="Arial" w:hAnsi="Arial"/>
          <w:sz w:val="24"/>
        </w:rPr>
        <w:t>, the planning proposal was forwarded to the Department of Planning a</w:t>
      </w:r>
      <w:r w:rsidR="002D293F" w:rsidRPr="00016235">
        <w:rPr>
          <w:rFonts w:ascii="Arial" w:hAnsi="Arial"/>
          <w:sz w:val="24"/>
        </w:rPr>
        <w:t xml:space="preserve">nd Environment (the Department).  </w:t>
      </w:r>
      <w:r w:rsidRPr="00016235">
        <w:rPr>
          <w:rFonts w:ascii="Arial" w:hAnsi="Arial"/>
          <w:sz w:val="24"/>
        </w:rPr>
        <w:t xml:space="preserve">A gateway determination and a written authorisation to exercise delegation </w:t>
      </w:r>
      <w:r w:rsidR="00B12126" w:rsidRPr="00016235">
        <w:rPr>
          <w:rFonts w:ascii="Arial" w:hAnsi="Arial"/>
          <w:sz w:val="24"/>
        </w:rPr>
        <w:t>were</w:t>
      </w:r>
      <w:r w:rsidRPr="00016235">
        <w:rPr>
          <w:rFonts w:ascii="Arial" w:hAnsi="Arial"/>
          <w:sz w:val="24"/>
        </w:rPr>
        <w:t xml:space="preserve"> issued by the Department on </w:t>
      </w:r>
      <w:r w:rsidR="006906DA">
        <w:rPr>
          <w:rFonts w:ascii="Arial" w:hAnsi="Arial"/>
          <w:sz w:val="24"/>
        </w:rPr>
        <w:t>5 October 2016</w:t>
      </w:r>
      <w:r w:rsidRPr="00016235">
        <w:rPr>
          <w:rFonts w:ascii="Arial" w:hAnsi="Arial"/>
          <w:sz w:val="24"/>
        </w:rPr>
        <w:t xml:space="preserve">. </w:t>
      </w:r>
      <w:r w:rsidR="006906DA">
        <w:rPr>
          <w:rFonts w:ascii="Arial" w:hAnsi="Arial"/>
          <w:sz w:val="24"/>
        </w:rPr>
        <w:t xml:space="preserve"> As stated above an amended gateway determination was issued on 17 November 2016 correcting the description of the gun.  </w:t>
      </w:r>
      <w:r w:rsidRPr="00016235">
        <w:rPr>
          <w:rFonts w:ascii="Arial" w:hAnsi="Arial"/>
          <w:sz w:val="24"/>
        </w:rPr>
        <w:t xml:space="preserve"> </w:t>
      </w:r>
      <w:r w:rsidR="00B14A52" w:rsidRPr="00016235">
        <w:rPr>
          <w:rFonts w:ascii="Arial" w:hAnsi="Arial"/>
          <w:sz w:val="24"/>
        </w:rPr>
        <w:t xml:space="preserve">Attachment 2 is the </w:t>
      </w:r>
      <w:r w:rsidR="006906DA">
        <w:rPr>
          <w:rFonts w:ascii="Arial" w:hAnsi="Arial"/>
          <w:sz w:val="24"/>
        </w:rPr>
        <w:t>amended</w:t>
      </w:r>
      <w:r w:rsidR="00015AA0" w:rsidRPr="00016235">
        <w:rPr>
          <w:rFonts w:ascii="Arial" w:hAnsi="Arial"/>
          <w:sz w:val="24"/>
        </w:rPr>
        <w:t xml:space="preserve"> </w:t>
      </w:r>
      <w:r w:rsidR="00C002A5" w:rsidRPr="00016235">
        <w:rPr>
          <w:rFonts w:ascii="Arial" w:hAnsi="Arial"/>
          <w:sz w:val="24"/>
        </w:rPr>
        <w:t xml:space="preserve">planning proposal </w:t>
      </w:r>
      <w:r w:rsidR="006906DA">
        <w:rPr>
          <w:rFonts w:ascii="Arial" w:hAnsi="Arial"/>
          <w:sz w:val="24"/>
        </w:rPr>
        <w:t xml:space="preserve">(correcting the gun description) </w:t>
      </w:r>
      <w:r w:rsidR="00C002A5" w:rsidRPr="00016235">
        <w:rPr>
          <w:rFonts w:ascii="Arial" w:hAnsi="Arial"/>
          <w:sz w:val="24"/>
        </w:rPr>
        <w:t xml:space="preserve">and Attachment 3 is the </w:t>
      </w:r>
      <w:r w:rsidR="00071659">
        <w:rPr>
          <w:rFonts w:ascii="Arial" w:hAnsi="Arial"/>
          <w:sz w:val="24"/>
        </w:rPr>
        <w:t xml:space="preserve">original gateway determination and the </w:t>
      </w:r>
      <w:bookmarkStart w:id="0" w:name="_GoBack"/>
      <w:bookmarkEnd w:id="0"/>
      <w:r w:rsidR="006906DA">
        <w:rPr>
          <w:rFonts w:ascii="Arial" w:hAnsi="Arial"/>
          <w:sz w:val="24"/>
        </w:rPr>
        <w:t xml:space="preserve">amended </w:t>
      </w:r>
      <w:r w:rsidR="00C002A5" w:rsidRPr="00016235">
        <w:rPr>
          <w:rFonts w:ascii="Arial" w:hAnsi="Arial"/>
          <w:sz w:val="24"/>
        </w:rPr>
        <w:t>gateway determination.</w:t>
      </w:r>
    </w:p>
    <w:p w:rsidR="00064B56" w:rsidRPr="00016235" w:rsidRDefault="00064B56" w:rsidP="00064B56">
      <w:pPr>
        <w:pStyle w:val="PlainText"/>
        <w:ind w:left="709"/>
        <w:jc w:val="both"/>
        <w:rPr>
          <w:rFonts w:ascii="Arial" w:hAnsi="Arial"/>
          <w:sz w:val="24"/>
        </w:rPr>
      </w:pPr>
      <w:r w:rsidRPr="00016235">
        <w:rPr>
          <w:rFonts w:ascii="Arial" w:hAnsi="Arial"/>
          <w:sz w:val="24"/>
        </w:rPr>
        <w:t>The planning proposal was exhibited in accordance with section 57 of the Environmental Planning and Assessment Act (the Act) for a period of 14 days</w:t>
      </w:r>
      <w:r w:rsidR="00BB0969" w:rsidRPr="00016235">
        <w:rPr>
          <w:rFonts w:ascii="Arial" w:hAnsi="Arial"/>
          <w:sz w:val="24"/>
        </w:rPr>
        <w:t xml:space="preserve"> and</w:t>
      </w:r>
      <w:r w:rsidR="002D293F" w:rsidRPr="00016235">
        <w:rPr>
          <w:rFonts w:ascii="Arial" w:hAnsi="Arial"/>
          <w:sz w:val="24"/>
        </w:rPr>
        <w:t xml:space="preserve"> no</w:t>
      </w:r>
      <w:r w:rsidR="00BB0969" w:rsidRPr="00016235">
        <w:rPr>
          <w:rFonts w:ascii="Arial" w:hAnsi="Arial"/>
          <w:sz w:val="24"/>
        </w:rPr>
        <w:t xml:space="preserve"> submission</w:t>
      </w:r>
      <w:r w:rsidR="002D293F" w:rsidRPr="00016235">
        <w:rPr>
          <w:rFonts w:ascii="Arial" w:hAnsi="Arial"/>
          <w:sz w:val="24"/>
        </w:rPr>
        <w:t>s were</w:t>
      </w:r>
      <w:r w:rsidR="00BB0969" w:rsidRPr="00016235">
        <w:rPr>
          <w:rFonts w:ascii="Arial" w:hAnsi="Arial"/>
          <w:sz w:val="24"/>
        </w:rPr>
        <w:t xml:space="preserve"> received.</w:t>
      </w:r>
    </w:p>
    <w:p w:rsidR="003602F7" w:rsidRPr="00016235" w:rsidRDefault="003602F7" w:rsidP="00015AA0">
      <w:pPr>
        <w:pStyle w:val="PlainText"/>
        <w:jc w:val="both"/>
        <w:rPr>
          <w:rFonts w:ascii="Arial" w:hAnsi="Arial"/>
          <w:sz w:val="24"/>
        </w:rPr>
      </w:pPr>
    </w:p>
    <w:p w:rsidR="00064B56" w:rsidRPr="00016235" w:rsidRDefault="00064B56" w:rsidP="00064B56">
      <w:pPr>
        <w:pStyle w:val="PlainText"/>
        <w:ind w:left="709"/>
        <w:jc w:val="both"/>
        <w:rPr>
          <w:rFonts w:ascii="Arial" w:hAnsi="Arial"/>
          <w:sz w:val="24"/>
        </w:rPr>
      </w:pPr>
      <w:r w:rsidRPr="00016235">
        <w:rPr>
          <w:rFonts w:ascii="Arial" w:hAnsi="Arial"/>
          <w:sz w:val="24"/>
        </w:rPr>
        <w:t>As Council has been given delegation to make the instrument, Council is required to resolve in accordance with section 59(2) or (3) of the Act on whether it wishes to make the instrument.  Section 59(2) and (3) states:</w:t>
      </w:r>
    </w:p>
    <w:p w:rsidR="00064B56" w:rsidRPr="00016235" w:rsidRDefault="00064B56" w:rsidP="00064B56">
      <w:pPr>
        <w:pStyle w:val="PlainText"/>
        <w:ind w:left="709"/>
        <w:jc w:val="both"/>
        <w:rPr>
          <w:rFonts w:ascii="Arial" w:hAnsi="Arial"/>
          <w:sz w:val="24"/>
        </w:rPr>
      </w:pPr>
    </w:p>
    <w:p w:rsidR="00064B56" w:rsidRPr="00016235" w:rsidRDefault="00064B56" w:rsidP="00064B56">
      <w:pPr>
        <w:ind w:left="1843" w:right="521" w:hanging="567"/>
        <w:jc w:val="both"/>
        <w:rPr>
          <w:rFonts w:cs="Arial"/>
          <w:i/>
          <w:szCs w:val="24"/>
          <w:lang w:val="en-AU" w:eastAsia="en-AU"/>
        </w:rPr>
      </w:pPr>
      <w:r w:rsidRPr="00016235">
        <w:rPr>
          <w:rFonts w:cs="Arial"/>
          <w:i/>
          <w:szCs w:val="24"/>
          <w:lang w:val="en-AU" w:eastAsia="en-AU"/>
        </w:rPr>
        <w:t>(2)</w:t>
      </w:r>
      <w:r w:rsidRPr="00016235">
        <w:rPr>
          <w:rFonts w:cs="Arial"/>
          <w:i/>
          <w:szCs w:val="24"/>
          <w:lang w:val="en-AU" w:eastAsia="en-AU"/>
        </w:rPr>
        <w:tab/>
        <w:t xml:space="preserve">The Minister may, following completion of community consultation: </w:t>
      </w:r>
    </w:p>
    <w:p w:rsidR="00064B56" w:rsidRPr="00016235" w:rsidRDefault="00064B56" w:rsidP="00064B56">
      <w:pPr>
        <w:ind w:left="1843" w:right="521" w:hanging="567"/>
        <w:jc w:val="both"/>
        <w:rPr>
          <w:rFonts w:cs="Arial"/>
          <w:i/>
          <w:szCs w:val="24"/>
          <w:lang w:val="en-AU" w:eastAsia="en-AU"/>
        </w:rPr>
      </w:pPr>
    </w:p>
    <w:p w:rsidR="00064B56" w:rsidRPr="00016235" w:rsidRDefault="00064B56" w:rsidP="00064B56">
      <w:pPr>
        <w:pStyle w:val="ListParagraph"/>
        <w:numPr>
          <w:ilvl w:val="0"/>
          <w:numId w:val="3"/>
        </w:numPr>
        <w:ind w:right="521"/>
        <w:jc w:val="both"/>
        <w:rPr>
          <w:rFonts w:cs="Arial"/>
          <w:i/>
          <w:szCs w:val="24"/>
          <w:lang w:val="en-AU" w:eastAsia="en-AU"/>
        </w:rPr>
      </w:pPr>
      <w:r w:rsidRPr="00016235">
        <w:rPr>
          <w:rFonts w:cs="Arial"/>
          <w:i/>
          <w:szCs w:val="24"/>
          <w:lang w:val="en-AU" w:eastAsia="en-AU"/>
        </w:rPr>
        <w:t>make a local environmental plan (with or without variation of the proposals submitted by the relevant planning authority) in the terms the Minister considers appropriate, or</w:t>
      </w:r>
    </w:p>
    <w:p w:rsidR="00064B56" w:rsidRPr="00016235" w:rsidRDefault="00064B56" w:rsidP="00064B56">
      <w:pPr>
        <w:pStyle w:val="ListParagraph"/>
        <w:ind w:left="2203" w:right="521"/>
        <w:jc w:val="both"/>
        <w:rPr>
          <w:rFonts w:cs="Arial"/>
          <w:i/>
          <w:szCs w:val="24"/>
          <w:lang w:val="en-AU" w:eastAsia="en-AU"/>
        </w:rPr>
      </w:pPr>
    </w:p>
    <w:p w:rsidR="00064B56" w:rsidRPr="00016235" w:rsidRDefault="00064B56" w:rsidP="00064B56">
      <w:pPr>
        <w:pStyle w:val="ListParagraph"/>
        <w:numPr>
          <w:ilvl w:val="0"/>
          <w:numId w:val="3"/>
        </w:numPr>
        <w:ind w:right="521"/>
        <w:jc w:val="both"/>
        <w:rPr>
          <w:rFonts w:cs="Arial"/>
          <w:i/>
          <w:szCs w:val="24"/>
          <w:lang w:val="en-AU" w:eastAsia="en-AU"/>
        </w:rPr>
      </w:pPr>
      <w:r w:rsidRPr="00016235">
        <w:rPr>
          <w:rFonts w:cs="Arial"/>
          <w:i/>
          <w:szCs w:val="24"/>
          <w:lang w:val="en-AU" w:eastAsia="en-AU"/>
        </w:rPr>
        <w:t>decide not to make the proposed local environmental plan.</w:t>
      </w:r>
    </w:p>
    <w:p w:rsidR="00064B56" w:rsidRPr="00016235" w:rsidRDefault="00064B56" w:rsidP="00064B56">
      <w:pPr>
        <w:ind w:right="521"/>
        <w:jc w:val="both"/>
        <w:rPr>
          <w:rFonts w:cs="Arial"/>
          <w:i/>
          <w:szCs w:val="24"/>
          <w:lang w:val="en-AU" w:eastAsia="en-AU"/>
        </w:rPr>
      </w:pPr>
    </w:p>
    <w:p w:rsidR="00064B56" w:rsidRPr="00016235" w:rsidRDefault="00064B56" w:rsidP="00064B56">
      <w:pPr>
        <w:ind w:left="1843" w:right="521" w:hanging="567"/>
        <w:jc w:val="both"/>
        <w:rPr>
          <w:rFonts w:cs="Arial"/>
          <w:i/>
          <w:szCs w:val="24"/>
          <w:lang w:val="en-AU" w:eastAsia="en-AU"/>
        </w:rPr>
      </w:pPr>
      <w:r w:rsidRPr="00016235">
        <w:rPr>
          <w:rFonts w:cs="Arial"/>
          <w:i/>
          <w:szCs w:val="24"/>
          <w:lang w:val="en-AU" w:eastAsia="en-AU"/>
        </w:rPr>
        <w:t>(3)</w:t>
      </w:r>
      <w:r w:rsidRPr="00016235">
        <w:rPr>
          <w:rFonts w:cs="Arial"/>
          <w:i/>
          <w:szCs w:val="24"/>
          <w:lang w:val="en-AU" w:eastAsia="en-AU"/>
        </w:rPr>
        <w:tab/>
        <w:t>The Minister may defer the inclusion of a matter in a proposed local environmental plan.</w:t>
      </w:r>
    </w:p>
    <w:p w:rsidR="00064B56" w:rsidRPr="00016235" w:rsidRDefault="00064B56" w:rsidP="00064B56">
      <w:pPr>
        <w:pStyle w:val="PlainText"/>
        <w:ind w:left="709"/>
        <w:jc w:val="both"/>
        <w:rPr>
          <w:rFonts w:ascii="Arial" w:hAnsi="Arial"/>
          <w:sz w:val="24"/>
        </w:rPr>
      </w:pPr>
    </w:p>
    <w:p w:rsidR="00064B56" w:rsidRPr="00016235" w:rsidRDefault="00064B56" w:rsidP="00BB0969">
      <w:pPr>
        <w:pStyle w:val="PlainText"/>
        <w:spacing w:before="120"/>
        <w:ind w:left="709" w:firstLine="11"/>
        <w:jc w:val="both"/>
        <w:rPr>
          <w:rFonts w:ascii="Arial" w:hAnsi="Arial"/>
          <w:sz w:val="24"/>
        </w:rPr>
      </w:pPr>
      <w:r w:rsidRPr="00016235">
        <w:rPr>
          <w:rFonts w:ascii="Arial" w:hAnsi="Arial"/>
          <w:sz w:val="24"/>
        </w:rPr>
        <w:t>It is recommended that the instrument be made.  Should Council resolve to make the instrument, it will be signed by Council under delegation and then forwarded to the Department requesting that the instrument be notified on the NSW legislation website.  The instrument will commence on the day it is notified.</w:t>
      </w:r>
    </w:p>
    <w:p w:rsidR="00BB0969" w:rsidRPr="00016235" w:rsidRDefault="00BB0969" w:rsidP="00BB0969">
      <w:pPr>
        <w:pStyle w:val="PlainText"/>
        <w:spacing w:before="240"/>
        <w:ind w:left="720"/>
        <w:jc w:val="both"/>
        <w:rPr>
          <w:rFonts w:ascii="Arial" w:hAnsi="Arial"/>
          <w:b/>
          <w:sz w:val="24"/>
        </w:rPr>
      </w:pPr>
      <w:r w:rsidRPr="00016235">
        <w:rPr>
          <w:rFonts w:ascii="Arial" w:hAnsi="Arial"/>
          <w:b/>
          <w:sz w:val="24"/>
        </w:rPr>
        <w:t>Strategic Implications:</w:t>
      </w:r>
    </w:p>
    <w:p w:rsidR="00BB0969" w:rsidRPr="00016235" w:rsidRDefault="00BB0969" w:rsidP="00BB0969">
      <w:pPr>
        <w:pStyle w:val="PlainText"/>
        <w:spacing w:before="120"/>
        <w:ind w:left="720"/>
        <w:jc w:val="both"/>
        <w:rPr>
          <w:rFonts w:ascii="Arial" w:hAnsi="Arial"/>
          <w:sz w:val="24"/>
        </w:rPr>
      </w:pPr>
      <w:r w:rsidRPr="00016235">
        <w:rPr>
          <w:rFonts w:ascii="Arial" w:hAnsi="Arial"/>
          <w:sz w:val="24"/>
        </w:rPr>
        <w:t>An amendment to LEP 2013 is required to achieve the objectives of the planning proposal.</w:t>
      </w:r>
    </w:p>
    <w:p w:rsidR="00BB0969" w:rsidRPr="00016235" w:rsidRDefault="00BB0969" w:rsidP="00BB0969">
      <w:pPr>
        <w:pStyle w:val="PlainText"/>
        <w:spacing w:before="240"/>
        <w:ind w:left="720"/>
        <w:jc w:val="both"/>
        <w:rPr>
          <w:rFonts w:ascii="Arial" w:hAnsi="Arial"/>
          <w:b/>
          <w:sz w:val="24"/>
        </w:rPr>
      </w:pPr>
      <w:r w:rsidRPr="00016235">
        <w:rPr>
          <w:rFonts w:ascii="Arial" w:hAnsi="Arial"/>
          <w:b/>
          <w:sz w:val="24"/>
        </w:rPr>
        <w:t>Budgetary Implications:</w:t>
      </w:r>
    </w:p>
    <w:p w:rsidR="00BB0969" w:rsidRPr="00016235" w:rsidRDefault="003602F7" w:rsidP="00BB0969">
      <w:pPr>
        <w:pStyle w:val="PlainText"/>
        <w:spacing w:before="120"/>
        <w:ind w:left="720"/>
        <w:jc w:val="both"/>
        <w:rPr>
          <w:rFonts w:ascii="Arial" w:hAnsi="Arial"/>
          <w:sz w:val="24"/>
        </w:rPr>
      </w:pPr>
      <w:r w:rsidRPr="00016235">
        <w:rPr>
          <w:rFonts w:ascii="Arial" w:hAnsi="Arial"/>
          <w:sz w:val="24"/>
        </w:rPr>
        <w:t>Nil.</w:t>
      </w:r>
    </w:p>
    <w:p w:rsidR="00BB0969" w:rsidRPr="00016235" w:rsidRDefault="00BB0969" w:rsidP="00BB0969">
      <w:pPr>
        <w:pStyle w:val="PlainText"/>
        <w:spacing w:before="240"/>
        <w:ind w:left="720"/>
        <w:jc w:val="both"/>
        <w:rPr>
          <w:rFonts w:ascii="Arial" w:hAnsi="Arial"/>
          <w:b/>
          <w:sz w:val="24"/>
        </w:rPr>
      </w:pPr>
      <w:r w:rsidRPr="00016235">
        <w:rPr>
          <w:rFonts w:ascii="Arial" w:hAnsi="Arial"/>
          <w:b/>
          <w:sz w:val="24"/>
        </w:rPr>
        <w:t>Policy Implications:</w:t>
      </w:r>
    </w:p>
    <w:p w:rsidR="00BB0969" w:rsidRPr="00016235" w:rsidRDefault="00BB0969" w:rsidP="00BB0969">
      <w:pPr>
        <w:pStyle w:val="PlainText"/>
        <w:spacing w:before="120"/>
        <w:ind w:left="720"/>
        <w:jc w:val="both"/>
        <w:rPr>
          <w:rFonts w:ascii="Arial" w:hAnsi="Arial"/>
          <w:sz w:val="24"/>
        </w:rPr>
      </w:pPr>
      <w:r w:rsidRPr="00016235">
        <w:rPr>
          <w:rFonts w:ascii="Arial" w:hAnsi="Arial"/>
          <w:sz w:val="24"/>
        </w:rPr>
        <w:t>Nil.</w:t>
      </w:r>
    </w:p>
    <w:p w:rsidR="00BB0969" w:rsidRPr="00016235" w:rsidRDefault="00BB0969" w:rsidP="00BB0969">
      <w:pPr>
        <w:pStyle w:val="PlainText"/>
        <w:spacing w:before="240"/>
        <w:ind w:left="720"/>
        <w:jc w:val="both"/>
        <w:rPr>
          <w:rFonts w:ascii="Arial" w:hAnsi="Arial"/>
          <w:b/>
          <w:sz w:val="24"/>
        </w:rPr>
      </w:pPr>
      <w:r w:rsidRPr="00016235">
        <w:rPr>
          <w:rFonts w:ascii="Arial" w:hAnsi="Arial"/>
          <w:b/>
          <w:sz w:val="24"/>
        </w:rPr>
        <w:t>Legislative Implications:</w:t>
      </w:r>
    </w:p>
    <w:p w:rsidR="00BB0969" w:rsidRPr="00016235" w:rsidRDefault="00B40834" w:rsidP="00BB0969">
      <w:pPr>
        <w:pStyle w:val="PlainText"/>
        <w:spacing w:before="120"/>
        <w:ind w:left="709"/>
        <w:jc w:val="both"/>
        <w:rPr>
          <w:rFonts w:ascii="Arial" w:hAnsi="Arial"/>
          <w:sz w:val="24"/>
        </w:rPr>
      </w:pPr>
      <w:r w:rsidRPr="00016235">
        <w:rPr>
          <w:rFonts w:ascii="Arial" w:hAnsi="Arial"/>
          <w:sz w:val="24"/>
        </w:rPr>
        <w:t>Amendments to the LEP 2013 must be in accordance with the Act.</w:t>
      </w:r>
    </w:p>
    <w:p w:rsidR="00015AA0" w:rsidRPr="00016235" w:rsidRDefault="00015AA0" w:rsidP="00015AA0">
      <w:pPr>
        <w:pStyle w:val="PlainText"/>
        <w:spacing w:before="240"/>
        <w:ind w:left="720"/>
        <w:jc w:val="both"/>
        <w:rPr>
          <w:rFonts w:ascii="Arial" w:hAnsi="Arial"/>
          <w:b/>
          <w:sz w:val="24"/>
        </w:rPr>
      </w:pPr>
      <w:r w:rsidRPr="00016235">
        <w:rPr>
          <w:rFonts w:ascii="Arial" w:hAnsi="Arial"/>
          <w:b/>
          <w:sz w:val="24"/>
        </w:rPr>
        <w:t>Risk Assessment:</w:t>
      </w:r>
    </w:p>
    <w:p w:rsidR="00015AA0" w:rsidRPr="00016235" w:rsidRDefault="00015AA0" w:rsidP="00015AA0">
      <w:pPr>
        <w:pStyle w:val="PlainText"/>
        <w:spacing w:before="120"/>
        <w:ind w:left="720"/>
        <w:jc w:val="both"/>
        <w:rPr>
          <w:rFonts w:ascii="Arial" w:hAnsi="Arial"/>
          <w:b/>
          <w:i/>
          <w:sz w:val="24"/>
        </w:rPr>
      </w:pPr>
      <w:r w:rsidRPr="00016235">
        <w:rPr>
          <w:rFonts w:ascii="Arial" w:hAnsi="Arial"/>
          <w:b/>
          <w:i/>
          <w:sz w:val="24"/>
        </w:rPr>
        <w:t>What can happen?</w:t>
      </w:r>
    </w:p>
    <w:p w:rsidR="00015AA0" w:rsidRPr="00016235" w:rsidRDefault="00015AA0" w:rsidP="00015AA0">
      <w:pPr>
        <w:pStyle w:val="PlainText"/>
        <w:spacing w:before="120"/>
        <w:ind w:left="720"/>
        <w:jc w:val="both"/>
        <w:rPr>
          <w:rFonts w:ascii="Arial" w:hAnsi="Arial"/>
          <w:b/>
          <w:i/>
          <w:sz w:val="24"/>
        </w:rPr>
      </w:pPr>
      <w:r w:rsidRPr="00016235">
        <w:rPr>
          <w:rFonts w:ascii="Arial" w:hAnsi="Arial"/>
          <w:sz w:val="24"/>
        </w:rPr>
        <w:t xml:space="preserve">Amend the LEP to </w:t>
      </w:r>
      <w:r w:rsidR="003362CB">
        <w:rPr>
          <w:rFonts w:ascii="Arial" w:hAnsi="Arial"/>
          <w:sz w:val="24"/>
        </w:rPr>
        <w:t xml:space="preserve">ensure a state listed heritage item is identified in LEP 2013.  </w:t>
      </w:r>
      <w:r w:rsidRPr="00016235">
        <w:rPr>
          <w:rFonts w:ascii="Arial" w:hAnsi="Arial"/>
          <w:b/>
          <w:i/>
          <w:sz w:val="24"/>
        </w:rPr>
        <w:t>How can it happen?</w:t>
      </w:r>
    </w:p>
    <w:p w:rsidR="00015AA0" w:rsidRPr="00016235" w:rsidRDefault="00015AA0" w:rsidP="00015AA0">
      <w:pPr>
        <w:pStyle w:val="PlainText"/>
        <w:spacing w:before="120"/>
        <w:ind w:left="720"/>
        <w:jc w:val="both"/>
        <w:rPr>
          <w:rFonts w:ascii="Arial" w:hAnsi="Arial"/>
          <w:sz w:val="24"/>
        </w:rPr>
      </w:pPr>
      <w:r w:rsidRPr="00016235">
        <w:rPr>
          <w:rFonts w:ascii="Arial" w:hAnsi="Arial"/>
          <w:sz w:val="24"/>
        </w:rPr>
        <w:t>By preparing a planning proposal.</w:t>
      </w:r>
    </w:p>
    <w:p w:rsidR="00015AA0" w:rsidRPr="00016235" w:rsidRDefault="00015AA0" w:rsidP="00015AA0">
      <w:pPr>
        <w:pStyle w:val="PlainText"/>
        <w:spacing w:before="120"/>
        <w:ind w:left="720"/>
        <w:jc w:val="both"/>
        <w:rPr>
          <w:rFonts w:ascii="Arial" w:hAnsi="Arial"/>
          <w:b/>
          <w:i/>
          <w:sz w:val="24"/>
        </w:rPr>
      </w:pPr>
      <w:r w:rsidRPr="00016235">
        <w:rPr>
          <w:rFonts w:ascii="Arial" w:hAnsi="Arial"/>
          <w:b/>
          <w:i/>
          <w:sz w:val="24"/>
        </w:rPr>
        <w:lastRenderedPageBreak/>
        <w:t>What are the consequences of the event happening?</w:t>
      </w:r>
    </w:p>
    <w:p w:rsidR="003362CB" w:rsidRDefault="003362CB" w:rsidP="00015AA0">
      <w:pPr>
        <w:pStyle w:val="PlainText"/>
        <w:spacing w:before="120"/>
        <w:ind w:left="720"/>
        <w:jc w:val="both"/>
        <w:rPr>
          <w:rFonts w:ascii="Arial" w:hAnsi="Arial"/>
          <w:sz w:val="24"/>
        </w:rPr>
      </w:pPr>
      <w:r w:rsidRPr="003362CB">
        <w:rPr>
          <w:rFonts w:ascii="Arial" w:hAnsi="Arial"/>
          <w:sz w:val="24"/>
        </w:rPr>
        <w:t>This ensures that Council is aware of the listing when dealing with matters associated with the Deniliquin RSL.</w:t>
      </w:r>
    </w:p>
    <w:p w:rsidR="00015AA0" w:rsidRPr="00016235" w:rsidRDefault="00015AA0" w:rsidP="00015AA0">
      <w:pPr>
        <w:pStyle w:val="PlainText"/>
        <w:spacing w:before="120"/>
        <w:ind w:left="720"/>
        <w:jc w:val="both"/>
        <w:rPr>
          <w:rFonts w:ascii="Arial" w:hAnsi="Arial"/>
          <w:b/>
          <w:i/>
          <w:sz w:val="24"/>
        </w:rPr>
      </w:pPr>
      <w:r w:rsidRPr="00016235">
        <w:rPr>
          <w:rFonts w:ascii="Arial" w:hAnsi="Arial"/>
          <w:b/>
          <w:i/>
          <w:sz w:val="24"/>
        </w:rPr>
        <w:t>What is the likelihood of the event happening?</w:t>
      </w:r>
    </w:p>
    <w:p w:rsidR="00015AA0" w:rsidRPr="00016235" w:rsidRDefault="00015AA0" w:rsidP="00015AA0">
      <w:pPr>
        <w:pStyle w:val="PlainText"/>
        <w:spacing w:before="120"/>
        <w:ind w:left="720"/>
        <w:jc w:val="both"/>
        <w:rPr>
          <w:rFonts w:ascii="Arial" w:hAnsi="Arial"/>
          <w:sz w:val="24"/>
        </w:rPr>
      </w:pPr>
      <w:r w:rsidRPr="00016235">
        <w:rPr>
          <w:rFonts w:ascii="Arial" w:hAnsi="Arial"/>
          <w:sz w:val="24"/>
        </w:rPr>
        <w:t xml:space="preserve">High.  This LEP amendment </w:t>
      </w:r>
      <w:r w:rsidR="003362CB">
        <w:rPr>
          <w:rFonts w:ascii="Arial" w:hAnsi="Arial"/>
          <w:sz w:val="24"/>
        </w:rPr>
        <w:t>is of a minor nature</w:t>
      </w:r>
      <w:r w:rsidRPr="00016235">
        <w:rPr>
          <w:rFonts w:ascii="Arial" w:hAnsi="Arial"/>
          <w:sz w:val="24"/>
        </w:rPr>
        <w:t>.</w:t>
      </w:r>
    </w:p>
    <w:p w:rsidR="00015AA0" w:rsidRPr="00016235" w:rsidRDefault="00015AA0" w:rsidP="00015AA0">
      <w:pPr>
        <w:pStyle w:val="PlainText"/>
        <w:spacing w:before="120"/>
        <w:ind w:left="720"/>
        <w:jc w:val="both"/>
        <w:rPr>
          <w:rFonts w:ascii="Arial" w:hAnsi="Arial"/>
          <w:b/>
          <w:i/>
          <w:sz w:val="24"/>
        </w:rPr>
      </w:pPr>
      <w:r w:rsidRPr="00016235">
        <w:rPr>
          <w:rFonts w:ascii="Arial" w:hAnsi="Arial"/>
          <w:b/>
          <w:i/>
          <w:sz w:val="24"/>
        </w:rPr>
        <w:t>Adequacy of existing controls?</w:t>
      </w:r>
    </w:p>
    <w:p w:rsidR="00015AA0" w:rsidRPr="00016235" w:rsidRDefault="003362CB" w:rsidP="00015AA0">
      <w:pPr>
        <w:pStyle w:val="PlainText"/>
        <w:spacing w:before="120"/>
        <w:ind w:left="720"/>
        <w:jc w:val="both"/>
        <w:rPr>
          <w:rFonts w:ascii="Arial" w:hAnsi="Arial"/>
          <w:sz w:val="24"/>
        </w:rPr>
      </w:pPr>
      <w:r>
        <w:rPr>
          <w:rFonts w:ascii="Arial" w:hAnsi="Arial"/>
          <w:sz w:val="24"/>
        </w:rPr>
        <w:t>The item is not identified in the LEP 2013.</w:t>
      </w:r>
    </w:p>
    <w:p w:rsidR="00015AA0" w:rsidRPr="00016235" w:rsidRDefault="00015AA0" w:rsidP="00015AA0">
      <w:pPr>
        <w:pStyle w:val="PlainText"/>
        <w:spacing w:before="120"/>
        <w:ind w:left="720"/>
        <w:jc w:val="both"/>
        <w:rPr>
          <w:rFonts w:ascii="Arial" w:hAnsi="Arial"/>
          <w:b/>
          <w:i/>
          <w:sz w:val="24"/>
        </w:rPr>
      </w:pPr>
      <w:r w:rsidRPr="00016235">
        <w:rPr>
          <w:rFonts w:ascii="Arial" w:hAnsi="Arial"/>
          <w:b/>
          <w:i/>
          <w:sz w:val="24"/>
        </w:rPr>
        <w:t>Treatment options to mitigate the risk?</w:t>
      </w:r>
    </w:p>
    <w:p w:rsidR="00015AA0" w:rsidRPr="00016235" w:rsidRDefault="00015AA0" w:rsidP="00015AA0">
      <w:pPr>
        <w:pStyle w:val="PlainText"/>
        <w:spacing w:before="120"/>
        <w:ind w:left="720"/>
        <w:jc w:val="both"/>
        <w:rPr>
          <w:rFonts w:ascii="Arial" w:hAnsi="Arial"/>
          <w:sz w:val="24"/>
        </w:rPr>
      </w:pPr>
      <w:r w:rsidRPr="00016235">
        <w:rPr>
          <w:rFonts w:ascii="Arial" w:hAnsi="Arial"/>
          <w:sz w:val="24"/>
        </w:rPr>
        <w:t>Amend the LEP 2013.</w:t>
      </w:r>
    </w:p>
    <w:p w:rsidR="00BB0969" w:rsidRPr="00016235" w:rsidRDefault="00BB0969" w:rsidP="00BB0969">
      <w:pPr>
        <w:pStyle w:val="PlainText"/>
        <w:tabs>
          <w:tab w:val="left" w:pos="567"/>
        </w:tabs>
        <w:spacing w:before="360"/>
        <w:ind w:left="720"/>
        <w:jc w:val="both"/>
        <w:rPr>
          <w:rFonts w:ascii="Arial" w:hAnsi="Arial"/>
          <w:b/>
          <w:sz w:val="24"/>
        </w:rPr>
      </w:pPr>
      <w:r w:rsidRPr="00016235">
        <w:rPr>
          <w:rFonts w:ascii="Arial" w:hAnsi="Arial"/>
          <w:b/>
          <w:sz w:val="24"/>
        </w:rPr>
        <w:t>Conclusion:</w:t>
      </w:r>
    </w:p>
    <w:p w:rsidR="00BB0969" w:rsidRPr="00016235" w:rsidRDefault="00BB0969" w:rsidP="00BB0969">
      <w:pPr>
        <w:pStyle w:val="PlainText"/>
        <w:tabs>
          <w:tab w:val="left" w:pos="567"/>
        </w:tabs>
        <w:spacing w:before="120"/>
        <w:ind w:left="720"/>
        <w:jc w:val="both"/>
        <w:rPr>
          <w:rFonts w:ascii="Arial" w:hAnsi="Arial"/>
          <w:sz w:val="24"/>
        </w:rPr>
      </w:pPr>
      <w:r w:rsidRPr="00016235">
        <w:rPr>
          <w:rFonts w:ascii="Arial" w:hAnsi="Arial"/>
          <w:sz w:val="24"/>
        </w:rPr>
        <w:t xml:space="preserve">Council should submit the planning proposal to the Department </w:t>
      </w:r>
      <w:r w:rsidR="00B40834" w:rsidRPr="00016235">
        <w:rPr>
          <w:rFonts w:ascii="Arial" w:hAnsi="Arial"/>
          <w:sz w:val="24"/>
        </w:rPr>
        <w:t>and request that it be made.</w:t>
      </w:r>
    </w:p>
    <w:p w:rsidR="00877EBD" w:rsidRPr="00016235" w:rsidRDefault="00877EBD" w:rsidP="00027E61">
      <w:pPr>
        <w:pStyle w:val="PlainText"/>
        <w:tabs>
          <w:tab w:val="left" w:pos="567"/>
        </w:tabs>
        <w:spacing w:before="480"/>
        <w:ind w:left="720"/>
        <w:jc w:val="both"/>
        <w:rPr>
          <w:rFonts w:ascii="Arial" w:hAnsi="Arial"/>
          <w:b/>
          <w:sz w:val="24"/>
        </w:rPr>
      </w:pPr>
      <w:r w:rsidRPr="00016235">
        <w:rPr>
          <w:rFonts w:ascii="Arial" w:hAnsi="Arial"/>
          <w:b/>
          <w:sz w:val="24"/>
        </w:rPr>
        <w:t>Attachments:</w:t>
      </w:r>
    </w:p>
    <w:p w:rsidR="00B40834" w:rsidRPr="00016235" w:rsidRDefault="00B40834" w:rsidP="00B40834">
      <w:pPr>
        <w:pStyle w:val="PlainText"/>
        <w:numPr>
          <w:ilvl w:val="0"/>
          <w:numId w:val="1"/>
        </w:numPr>
        <w:tabs>
          <w:tab w:val="left" w:pos="567"/>
        </w:tabs>
        <w:spacing w:before="120"/>
        <w:ind w:hanging="371"/>
        <w:jc w:val="both"/>
        <w:rPr>
          <w:rFonts w:ascii="Arial" w:hAnsi="Arial"/>
          <w:sz w:val="24"/>
        </w:rPr>
      </w:pPr>
      <w:r w:rsidRPr="00016235">
        <w:rPr>
          <w:rFonts w:ascii="Arial" w:hAnsi="Arial"/>
          <w:sz w:val="24"/>
        </w:rPr>
        <w:t xml:space="preserve">Attachment </w:t>
      </w:r>
      <w:r w:rsidR="00B14A52" w:rsidRPr="00016235">
        <w:rPr>
          <w:rFonts w:ascii="Arial" w:hAnsi="Arial"/>
          <w:sz w:val="24"/>
        </w:rPr>
        <w:t>1</w:t>
      </w:r>
      <w:r w:rsidRPr="00016235">
        <w:rPr>
          <w:rFonts w:ascii="Arial" w:hAnsi="Arial"/>
          <w:sz w:val="24"/>
        </w:rPr>
        <w:t xml:space="preserve"> – Draft amending instrument</w:t>
      </w:r>
      <w:r w:rsidR="002C1392">
        <w:rPr>
          <w:rFonts w:ascii="Arial" w:hAnsi="Arial"/>
          <w:sz w:val="24"/>
        </w:rPr>
        <w:t>, map</w:t>
      </w:r>
      <w:r w:rsidRPr="00016235">
        <w:rPr>
          <w:rFonts w:ascii="Arial" w:hAnsi="Arial"/>
          <w:sz w:val="24"/>
        </w:rPr>
        <w:t xml:space="preserve"> and Parliamentary Counsel’s opinion</w:t>
      </w:r>
      <w:r w:rsidR="00015AA0" w:rsidRPr="00016235">
        <w:rPr>
          <w:rFonts w:ascii="Arial" w:hAnsi="Arial"/>
          <w:sz w:val="24"/>
        </w:rPr>
        <w:t xml:space="preserve"> - </w:t>
      </w:r>
      <w:r w:rsidR="000402CA">
        <w:rPr>
          <w:rFonts w:ascii="Arial" w:hAnsi="Arial"/>
          <w:sz w:val="24"/>
        </w:rPr>
        <w:t>5</w:t>
      </w:r>
      <w:r w:rsidR="00015AA0" w:rsidRPr="00016235">
        <w:rPr>
          <w:rFonts w:ascii="Arial" w:hAnsi="Arial"/>
          <w:sz w:val="24"/>
        </w:rPr>
        <w:t xml:space="preserve"> pages</w:t>
      </w:r>
    </w:p>
    <w:p w:rsidR="00CB6BFE" w:rsidRPr="00016235" w:rsidRDefault="00CB6BFE" w:rsidP="00B40834">
      <w:pPr>
        <w:pStyle w:val="PlainText"/>
        <w:numPr>
          <w:ilvl w:val="0"/>
          <w:numId w:val="1"/>
        </w:numPr>
        <w:tabs>
          <w:tab w:val="left" w:pos="567"/>
        </w:tabs>
        <w:spacing w:before="120"/>
        <w:ind w:hanging="371"/>
        <w:jc w:val="both"/>
        <w:rPr>
          <w:rFonts w:ascii="Arial" w:hAnsi="Arial"/>
          <w:sz w:val="24"/>
        </w:rPr>
      </w:pPr>
      <w:r w:rsidRPr="00016235">
        <w:rPr>
          <w:rFonts w:ascii="Arial" w:hAnsi="Arial"/>
          <w:sz w:val="24"/>
        </w:rPr>
        <w:t>Attachment 2 – Planning proposal</w:t>
      </w:r>
      <w:r w:rsidR="002C75F8" w:rsidRPr="00016235">
        <w:rPr>
          <w:rFonts w:ascii="Arial" w:hAnsi="Arial"/>
          <w:sz w:val="24"/>
        </w:rPr>
        <w:t xml:space="preserve"> (amended)</w:t>
      </w:r>
      <w:r w:rsidR="00015AA0" w:rsidRPr="00016235">
        <w:rPr>
          <w:rFonts w:ascii="Arial" w:hAnsi="Arial"/>
          <w:sz w:val="24"/>
        </w:rPr>
        <w:t xml:space="preserve"> - </w:t>
      </w:r>
      <w:r w:rsidR="005840AC">
        <w:rPr>
          <w:rFonts w:ascii="Arial" w:hAnsi="Arial"/>
          <w:sz w:val="24"/>
        </w:rPr>
        <w:t>5</w:t>
      </w:r>
      <w:r w:rsidR="00015AA0" w:rsidRPr="00016235">
        <w:rPr>
          <w:rFonts w:ascii="Arial" w:hAnsi="Arial"/>
          <w:sz w:val="24"/>
        </w:rPr>
        <w:t xml:space="preserve"> pages</w:t>
      </w:r>
    </w:p>
    <w:p w:rsidR="00B51879" w:rsidRPr="00016235" w:rsidRDefault="00B51879" w:rsidP="00877EBD">
      <w:pPr>
        <w:pStyle w:val="PlainText"/>
        <w:numPr>
          <w:ilvl w:val="0"/>
          <w:numId w:val="1"/>
        </w:numPr>
        <w:tabs>
          <w:tab w:val="left" w:pos="567"/>
        </w:tabs>
        <w:spacing w:before="120"/>
        <w:jc w:val="both"/>
        <w:rPr>
          <w:rFonts w:ascii="Arial" w:hAnsi="Arial"/>
          <w:sz w:val="24"/>
        </w:rPr>
      </w:pPr>
      <w:r w:rsidRPr="00016235">
        <w:rPr>
          <w:rFonts w:ascii="Arial" w:hAnsi="Arial"/>
          <w:sz w:val="24"/>
        </w:rPr>
        <w:t xml:space="preserve">Attachment </w:t>
      </w:r>
      <w:r w:rsidR="00CB6BFE" w:rsidRPr="00016235">
        <w:rPr>
          <w:rFonts w:ascii="Arial" w:hAnsi="Arial"/>
          <w:sz w:val="24"/>
        </w:rPr>
        <w:t>3</w:t>
      </w:r>
      <w:r w:rsidRPr="00016235">
        <w:rPr>
          <w:rFonts w:ascii="Arial" w:hAnsi="Arial"/>
          <w:sz w:val="24"/>
        </w:rPr>
        <w:t xml:space="preserve"> – </w:t>
      </w:r>
      <w:r w:rsidR="005840AC">
        <w:rPr>
          <w:rFonts w:ascii="Arial" w:hAnsi="Arial"/>
          <w:sz w:val="24"/>
        </w:rPr>
        <w:t>Gateway determination (original) and g</w:t>
      </w:r>
      <w:r w:rsidRPr="00016235">
        <w:rPr>
          <w:rFonts w:ascii="Arial" w:hAnsi="Arial"/>
          <w:sz w:val="24"/>
        </w:rPr>
        <w:t>ateway determination</w:t>
      </w:r>
      <w:r w:rsidR="005840AC">
        <w:rPr>
          <w:rFonts w:ascii="Arial" w:hAnsi="Arial"/>
          <w:sz w:val="24"/>
        </w:rPr>
        <w:t xml:space="preserve"> (amended)</w:t>
      </w:r>
      <w:r w:rsidRPr="00016235">
        <w:rPr>
          <w:rFonts w:ascii="Arial" w:hAnsi="Arial"/>
          <w:sz w:val="24"/>
        </w:rPr>
        <w:t xml:space="preserve"> </w:t>
      </w:r>
      <w:r w:rsidR="00005F95" w:rsidRPr="00016235">
        <w:rPr>
          <w:rFonts w:ascii="Arial" w:hAnsi="Arial"/>
          <w:sz w:val="24"/>
        </w:rPr>
        <w:t>–</w:t>
      </w:r>
      <w:r w:rsidR="00015AA0" w:rsidRPr="00016235">
        <w:rPr>
          <w:rFonts w:ascii="Arial" w:hAnsi="Arial"/>
          <w:sz w:val="24"/>
        </w:rPr>
        <w:t xml:space="preserve"> </w:t>
      </w:r>
      <w:r w:rsidR="005840AC">
        <w:rPr>
          <w:rFonts w:ascii="Arial" w:hAnsi="Arial"/>
          <w:sz w:val="24"/>
        </w:rPr>
        <w:t>7</w:t>
      </w:r>
      <w:r w:rsidR="00005F95" w:rsidRPr="00016235">
        <w:rPr>
          <w:rFonts w:ascii="Arial" w:hAnsi="Arial"/>
          <w:sz w:val="24"/>
        </w:rPr>
        <w:t xml:space="preserve"> </w:t>
      </w:r>
      <w:r w:rsidR="00015AA0" w:rsidRPr="00016235">
        <w:rPr>
          <w:rFonts w:ascii="Arial" w:hAnsi="Arial"/>
          <w:sz w:val="24"/>
        </w:rPr>
        <w:t>pages</w:t>
      </w:r>
    </w:p>
    <w:p w:rsidR="003F165F" w:rsidRPr="00016235" w:rsidRDefault="003F165F" w:rsidP="00877EBD">
      <w:pPr>
        <w:pBdr>
          <w:bottom w:val="double" w:sz="4" w:space="1" w:color="auto"/>
        </w:pBdr>
        <w:tabs>
          <w:tab w:val="left" w:pos="567"/>
        </w:tabs>
      </w:pPr>
    </w:p>
    <w:p w:rsidR="00405C74" w:rsidRPr="00016235" w:rsidRDefault="00405C74" w:rsidP="00877EBD"/>
    <w:sectPr w:rsidR="00405C74" w:rsidRPr="00016235" w:rsidSect="00A14DCD">
      <w:pgSz w:w="11906" w:h="16838" w:code="9"/>
      <w:pgMar w:top="720" w:right="1440" w:bottom="576"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0AC" w:rsidRDefault="005840AC">
      <w:r>
        <w:separator/>
      </w:r>
    </w:p>
  </w:endnote>
  <w:endnote w:type="continuationSeparator" w:id="0">
    <w:p w:rsidR="005840AC" w:rsidRDefault="0058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0AC" w:rsidRDefault="005840AC">
      <w:r>
        <w:separator/>
      </w:r>
    </w:p>
  </w:footnote>
  <w:footnote w:type="continuationSeparator" w:id="0">
    <w:p w:rsidR="005840AC" w:rsidRDefault="00584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11F1C"/>
    <w:multiLevelType w:val="hybridMultilevel"/>
    <w:tmpl w:val="24CCF2A8"/>
    <w:lvl w:ilvl="0" w:tplc="05E802F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F6C43E3"/>
    <w:multiLevelType w:val="hybridMultilevel"/>
    <w:tmpl w:val="8256C26C"/>
    <w:lvl w:ilvl="0" w:tplc="76144D00">
      <w:start w:val="1"/>
      <w:numFmt w:val="lowerLetter"/>
      <w:lvlText w:val="(%1)"/>
      <w:lvlJc w:val="left"/>
      <w:pPr>
        <w:ind w:left="2203" w:hanging="360"/>
      </w:pPr>
      <w:rPr>
        <w:rFonts w:hint="default"/>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2" w15:restartNumberingAfterBreak="0">
    <w:nsid w:val="51056D59"/>
    <w:multiLevelType w:val="hybridMultilevel"/>
    <w:tmpl w:val="5156D800"/>
    <w:lvl w:ilvl="0" w:tplc="15BAF1F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55264F70"/>
    <w:multiLevelType w:val="hybridMultilevel"/>
    <w:tmpl w:val="66CADB52"/>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E61"/>
    <w:rsid w:val="00005F95"/>
    <w:rsid w:val="00015AA0"/>
    <w:rsid w:val="00016235"/>
    <w:rsid w:val="0002566C"/>
    <w:rsid w:val="00026CA3"/>
    <w:rsid w:val="00027E61"/>
    <w:rsid w:val="000402CA"/>
    <w:rsid w:val="000618FB"/>
    <w:rsid w:val="00064B56"/>
    <w:rsid w:val="00071659"/>
    <w:rsid w:val="000B4A11"/>
    <w:rsid w:val="000D6053"/>
    <w:rsid w:val="00120F11"/>
    <w:rsid w:val="00147182"/>
    <w:rsid w:val="0015641D"/>
    <w:rsid w:val="0019342C"/>
    <w:rsid w:val="001B0312"/>
    <w:rsid w:val="001C004B"/>
    <w:rsid w:val="002466F7"/>
    <w:rsid w:val="002C1392"/>
    <w:rsid w:val="002C75F8"/>
    <w:rsid w:val="002D293F"/>
    <w:rsid w:val="003205CC"/>
    <w:rsid w:val="0033173F"/>
    <w:rsid w:val="003362CB"/>
    <w:rsid w:val="0034260D"/>
    <w:rsid w:val="0034438C"/>
    <w:rsid w:val="003602F7"/>
    <w:rsid w:val="00386194"/>
    <w:rsid w:val="0039692B"/>
    <w:rsid w:val="003D6591"/>
    <w:rsid w:val="003D7AD1"/>
    <w:rsid w:val="003F165F"/>
    <w:rsid w:val="003F1FF8"/>
    <w:rsid w:val="003F6E4E"/>
    <w:rsid w:val="00405C74"/>
    <w:rsid w:val="00435490"/>
    <w:rsid w:val="00440A31"/>
    <w:rsid w:val="00446530"/>
    <w:rsid w:val="00472682"/>
    <w:rsid w:val="004A5D40"/>
    <w:rsid w:val="004D1A33"/>
    <w:rsid w:val="00516AB5"/>
    <w:rsid w:val="00517B77"/>
    <w:rsid w:val="00526407"/>
    <w:rsid w:val="005313C4"/>
    <w:rsid w:val="00563517"/>
    <w:rsid w:val="005840AC"/>
    <w:rsid w:val="00596D91"/>
    <w:rsid w:val="005B4860"/>
    <w:rsid w:val="005C2262"/>
    <w:rsid w:val="005E476C"/>
    <w:rsid w:val="0060664E"/>
    <w:rsid w:val="006125F6"/>
    <w:rsid w:val="00656AEA"/>
    <w:rsid w:val="006906DA"/>
    <w:rsid w:val="006A36F9"/>
    <w:rsid w:val="006A4477"/>
    <w:rsid w:val="006A6D96"/>
    <w:rsid w:val="006C36DC"/>
    <w:rsid w:val="006E4FBF"/>
    <w:rsid w:val="006F0AE0"/>
    <w:rsid w:val="006F0C43"/>
    <w:rsid w:val="00710972"/>
    <w:rsid w:val="00710DDF"/>
    <w:rsid w:val="00722A89"/>
    <w:rsid w:val="00766CE3"/>
    <w:rsid w:val="0077094B"/>
    <w:rsid w:val="007773EA"/>
    <w:rsid w:val="007B2D35"/>
    <w:rsid w:val="007C7027"/>
    <w:rsid w:val="00803D9D"/>
    <w:rsid w:val="008315BE"/>
    <w:rsid w:val="008424FF"/>
    <w:rsid w:val="00862910"/>
    <w:rsid w:val="00877EBD"/>
    <w:rsid w:val="00881861"/>
    <w:rsid w:val="00897002"/>
    <w:rsid w:val="008A409C"/>
    <w:rsid w:val="008A58B6"/>
    <w:rsid w:val="008D1379"/>
    <w:rsid w:val="008D45C9"/>
    <w:rsid w:val="00925B8F"/>
    <w:rsid w:val="00946FED"/>
    <w:rsid w:val="009626C9"/>
    <w:rsid w:val="009834D9"/>
    <w:rsid w:val="009A5C72"/>
    <w:rsid w:val="009B421C"/>
    <w:rsid w:val="009C01B1"/>
    <w:rsid w:val="009D6CF7"/>
    <w:rsid w:val="00A0724F"/>
    <w:rsid w:val="00A14DCD"/>
    <w:rsid w:val="00A534C3"/>
    <w:rsid w:val="00AB3D3D"/>
    <w:rsid w:val="00AD1412"/>
    <w:rsid w:val="00AD179C"/>
    <w:rsid w:val="00AD3F83"/>
    <w:rsid w:val="00B12126"/>
    <w:rsid w:val="00B14A52"/>
    <w:rsid w:val="00B40834"/>
    <w:rsid w:val="00B41D19"/>
    <w:rsid w:val="00B51879"/>
    <w:rsid w:val="00BB0969"/>
    <w:rsid w:val="00BB71F8"/>
    <w:rsid w:val="00C002A5"/>
    <w:rsid w:val="00C04AC0"/>
    <w:rsid w:val="00C70D68"/>
    <w:rsid w:val="00CB6BFE"/>
    <w:rsid w:val="00CC43C6"/>
    <w:rsid w:val="00D23932"/>
    <w:rsid w:val="00D855FA"/>
    <w:rsid w:val="00DB7777"/>
    <w:rsid w:val="00DC27F5"/>
    <w:rsid w:val="00DD3C43"/>
    <w:rsid w:val="00DE08E9"/>
    <w:rsid w:val="00E65DF1"/>
    <w:rsid w:val="00E84383"/>
    <w:rsid w:val="00EB5550"/>
    <w:rsid w:val="00EE2A21"/>
    <w:rsid w:val="00F23ECB"/>
    <w:rsid w:val="00F267D1"/>
    <w:rsid w:val="00F26B09"/>
    <w:rsid w:val="00F808C0"/>
    <w:rsid w:val="00FC718F"/>
    <w:rsid w:val="00FE36B9"/>
    <w:rsid w:val="00FE6E5B"/>
    <w:rsid w:val="00FF513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830F1"/>
  <w15:docId w15:val="{3523805D-51A7-40AF-8677-DC2B6183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14DCD"/>
    <w:rPr>
      <w:rFonts w:ascii="Arial" w:hAnsi="Arial"/>
      <w:sz w:val="24"/>
      <w:lang w:val="en-US" w:eastAsia="en-US"/>
    </w:rPr>
  </w:style>
  <w:style w:type="paragraph" w:styleId="Heading1">
    <w:name w:val="heading 1"/>
    <w:basedOn w:val="Normal"/>
    <w:next w:val="Normal"/>
    <w:link w:val="Heading1Char"/>
    <w:qFormat/>
    <w:rsid w:val="00A534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
    <w:qFormat/>
    <w:rsid w:val="00A14DCD"/>
    <w:pPr>
      <w:keepNext/>
      <w:ind w:left="2160" w:hanging="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14DCD"/>
    <w:rPr>
      <w:rFonts w:ascii="Courier New" w:hAnsi="Courier New"/>
      <w:sz w:val="20"/>
      <w:lang w:val="en-AU"/>
    </w:rPr>
  </w:style>
  <w:style w:type="paragraph" w:styleId="Header">
    <w:name w:val="header"/>
    <w:basedOn w:val="Normal"/>
    <w:rsid w:val="00A14DCD"/>
    <w:pPr>
      <w:tabs>
        <w:tab w:val="center" w:pos="4320"/>
        <w:tab w:val="right" w:pos="8640"/>
      </w:tabs>
    </w:pPr>
  </w:style>
  <w:style w:type="paragraph" w:styleId="Footer">
    <w:name w:val="footer"/>
    <w:basedOn w:val="Normal"/>
    <w:rsid w:val="00A14DCD"/>
    <w:pPr>
      <w:tabs>
        <w:tab w:val="center" w:pos="4320"/>
        <w:tab w:val="right" w:pos="8640"/>
      </w:tabs>
    </w:pPr>
  </w:style>
  <w:style w:type="character" w:customStyle="1" w:styleId="Heading1Char">
    <w:name w:val="Heading 1 Char"/>
    <w:basedOn w:val="DefaultParagraphFont"/>
    <w:link w:val="Heading1"/>
    <w:rsid w:val="00A534C3"/>
    <w:rPr>
      <w:rFonts w:asciiTheme="majorHAnsi" w:eastAsiaTheme="majorEastAsia" w:hAnsiTheme="majorHAnsi" w:cstheme="majorBidi"/>
      <w:b/>
      <w:bCs/>
      <w:color w:val="365F91" w:themeColor="accent1" w:themeShade="BF"/>
      <w:sz w:val="28"/>
      <w:szCs w:val="28"/>
      <w:lang w:val="en-US" w:eastAsia="en-US"/>
    </w:rPr>
  </w:style>
  <w:style w:type="character" w:styleId="Hyperlink">
    <w:name w:val="Hyperlink"/>
    <w:basedOn w:val="DefaultParagraphFont"/>
    <w:rsid w:val="00147182"/>
    <w:rPr>
      <w:color w:val="0000FF" w:themeColor="hyperlink"/>
      <w:u w:val="single"/>
    </w:rPr>
  </w:style>
  <w:style w:type="character" w:customStyle="1" w:styleId="PlainTextChar">
    <w:name w:val="Plain Text Char"/>
    <w:basedOn w:val="DefaultParagraphFont"/>
    <w:link w:val="PlainText"/>
    <w:rsid w:val="00AB3D3D"/>
    <w:rPr>
      <w:rFonts w:ascii="Courier New" w:hAnsi="Courier New"/>
      <w:lang w:eastAsia="en-US"/>
    </w:rPr>
  </w:style>
  <w:style w:type="paragraph" w:styleId="ListParagraph">
    <w:name w:val="List Paragraph"/>
    <w:basedOn w:val="Normal"/>
    <w:uiPriority w:val="34"/>
    <w:qFormat/>
    <w:rsid w:val="003F6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Templates\Template%20for%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0A456-70C4-4880-910E-53364382F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Report.dotx</Template>
  <TotalTime>0</TotalTime>
  <Pages>3</Pages>
  <Words>788</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vt:lpstr>
    </vt:vector>
  </TitlesOfParts>
  <Company>Deniliquin Council</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Des Bilske</dc:creator>
  <cp:lastModifiedBy>Julie Rogers</cp:lastModifiedBy>
  <cp:revision>2</cp:revision>
  <cp:lastPrinted>2017-04-30T00:59:00Z</cp:lastPrinted>
  <dcterms:created xsi:type="dcterms:W3CDTF">2017-04-30T00:59:00Z</dcterms:created>
  <dcterms:modified xsi:type="dcterms:W3CDTF">2017-04-30T00:59:00Z</dcterms:modified>
</cp:coreProperties>
</file>